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E429A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color w:val="000000"/>
          <w:w w:val="98"/>
          <w:sz w:val="32"/>
          <w:szCs w:val="32"/>
        </w:rPr>
      </w:pPr>
      <w:r>
        <w:rPr>
          <w:rFonts w:hint="eastAsia" w:ascii="黑体" w:hAnsi="黑体" w:eastAsia="黑体" w:cs="黑体"/>
          <w:color w:val="000000"/>
          <w:w w:val="98"/>
          <w:sz w:val="32"/>
          <w:szCs w:val="32"/>
        </w:rPr>
        <w:t>报 价 函</w:t>
      </w:r>
    </w:p>
    <w:p w14:paraId="38960372">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p>
    <w:p w14:paraId="4A30662C">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四川顺坦公路养护工程有限公司：</w:t>
      </w:r>
    </w:p>
    <w:p w14:paraId="0DC3A002">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1.我方全面研究了《四川顺坦公路养护工程有限公司钢材供应采购项目钢材供应服务询价公告》相关内容，决定参加贵单位组织的本项目报价。</w:t>
      </w:r>
    </w:p>
    <w:p w14:paraId="3A60EF5E">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2.我方自愿按照询价文件规定的各项要求向采购人提供所需服务。</w:t>
      </w:r>
    </w:p>
    <w:p w14:paraId="3510A230">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3.一旦我方成交，我方将严格履行采购合同规定的责任和义务。</w:t>
      </w:r>
    </w:p>
    <w:p w14:paraId="296338E1">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4.我方同意本询价文件参照《关于对政府采购领域严重</w:t>
      </w:r>
      <w:bookmarkStart w:id="0" w:name="_GoBack"/>
      <w:bookmarkEnd w:id="0"/>
      <w:r>
        <w:rPr>
          <w:rFonts w:hint="eastAsia" w:ascii="仿宋" w:hAnsi="仿宋" w:eastAsia="仿宋" w:cs="仿宋"/>
          <w:color w:val="000000"/>
          <w:w w:val="98"/>
          <w:sz w:val="32"/>
          <w:szCs w:val="32"/>
        </w:rPr>
        <w:t xml:space="preserve">违法失信主体开展联合惩戒的合作备忘录》（川发改财金〔2018〕1614号）对我方可能存在的失信行为进行惩戒。    </w:t>
      </w:r>
    </w:p>
    <w:p w14:paraId="2559993F">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5.我方愿意提供贵单位可能另外要求的，与询价有关的文件资料，并保证我方已提供和将要提供的文件资料是真实、准确的。</w:t>
      </w:r>
    </w:p>
    <w:p w14:paraId="0C25B7DA">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6.本次询价，我方递交的文件有效期为询价文件规定起算之日起90天。</w:t>
      </w:r>
    </w:p>
    <w:p w14:paraId="1F072CB2">
      <w:pPr>
        <w:keepNext w:val="0"/>
        <w:keepLines w:val="0"/>
        <w:pageBreakBefore w:val="0"/>
        <w:widowControl w:val="0"/>
        <w:kinsoku/>
        <w:wordWrap/>
        <w:overflowPunct/>
        <w:topLinePunct w:val="0"/>
        <w:autoSpaceDE/>
        <w:autoSpaceDN/>
        <w:bidi w:val="0"/>
        <w:adjustRightInd/>
        <w:snapToGrid/>
        <w:spacing w:line="400" w:lineRule="exact"/>
        <w:ind w:left="638" w:leftChars="304"/>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7. 我方以单价人民币报价为：</w:t>
      </w:r>
      <w:r>
        <w:rPr>
          <w:rFonts w:hint="eastAsia" w:ascii="仿宋" w:hAnsi="仿宋" w:eastAsia="仿宋" w:cs="仿宋"/>
          <w:color w:val="000000"/>
          <w:w w:val="98"/>
          <w:sz w:val="32"/>
          <w:szCs w:val="32"/>
          <w:u w:val="single"/>
        </w:rPr>
        <w:t xml:space="preserve">                      </w:t>
      </w:r>
      <w:r>
        <w:rPr>
          <w:rFonts w:hint="eastAsia" w:ascii="仿宋" w:hAnsi="仿宋" w:eastAsia="仿宋" w:cs="仿宋"/>
          <w:color w:val="000000"/>
          <w:w w:val="98"/>
          <w:sz w:val="32"/>
          <w:szCs w:val="32"/>
        </w:rPr>
        <w:t>。</w:t>
      </w:r>
    </w:p>
    <w:p w14:paraId="588CAAD7">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（报价为钢材浮动结算单价，形式为：结算单价（含税）=基准价+运杂费，基准价按照“我的钢铁网”成都市场建筑钢材对应的网价执行）。</w:t>
      </w:r>
    </w:p>
    <w:p w14:paraId="3B609B71">
      <w:pPr>
        <w:keepNext w:val="0"/>
        <w:keepLines w:val="0"/>
        <w:pageBreakBefore w:val="0"/>
        <w:widowControl w:val="0"/>
        <w:kinsoku/>
        <w:wordWrap/>
        <w:overflowPunct/>
        <w:topLinePunct w:val="0"/>
        <w:autoSpaceDE/>
        <w:autoSpaceDN/>
        <w:bidi w:val="0"/>
        <w:adjustRightInd/>
        <w:snapToGrid/>
        <w:spacing w:line="400" w:lineRule="exact"/>
        <w:ind w:left="638" w:leftChars="304"/>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本项目报价包括送货到巴中市通江县区域内指定点位的一切费用，包括但不限于网差、运费、税金。</w:t>
      </w:r>
    </w:p>
    <w:p w14:paraId="51305820">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供应商名称：（名称和加盖公章）</w:t>
      </w:r>
    </w:p>
    <w:p w14:paraId="11B03BA7">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法定代表人或授权代表：（签字或加盖个人名章）</w:t>
      </w:r>
    </w:p>
    <w:p w14:paraId="0F2293F2">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通讯地址：XXX</w:t>
      </w:r>
    </w:p>
    <w:p w14:paraId="1E6DF3F1">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邮政编码：XXX</w:t>
      </w:r>
    </w:p>
    <w:p w14:paraId="1120F9CC">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联系电话：XXX</w:t>
      </w:r>
    </w:p>
    <w:p w14:paraId="0A37699D">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传    真：XXX</w:t>
      </w:r>
    </w:p>
    <w:p w14:paraId="30ADEB6C">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日    期：XXX年XXX月XXX日</w:t>
      </w:r>
    </w:p>
    <w:sectPr>
      <w:pgSz w:w="11906" w:h="16838"/>
      <w:pgMar w:top="2098" w:right="1474"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D801DA9-FAA7-4E77-B780-FF7A0E9FB38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2" w:fontKey="{AE4ADAAC-7B10-4DF1-AEFA-D7247BEBE66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EC113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qFormat/>
    <w:uiPriority w:val="9"/>
    <w:pPr>
      <w:keepNext/>
      <w:keepLines/>
      <w:spacing w:line="413" w:lineRule="auto"/>
      <w:outlineLvl w:val="2"/>
    </w:pPr>
    <w:rPr>
      <w:rFonts w:hint="eastAsia" w:ascii="Arial" w:hAnsi="Arial"/>
      <w:b/>
      <w:sz w:val="32"/>
    </w:rPr>
  </w:style>
  <w:style w:type="character" w:default="1" w:styleId="9">
    <w:name w:val="Default Paragraph Font"/>
    <w:uiPriority w:val="1"/>
  </w:style>
  <w:style w:type="table" w:default="1" w:styleId="8">
    <w:name w:val="Normal Table"/>
    <w:qFormat/>
    <w:uiPriority w:val="99"/>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First Indent 2"/>
    <w:basedOn w:val="4"/>
    <w:qFormat/>
    <w:uiPriority w:val="0"/>
    <w:pPr>
      <w:spacing w:after="0"/>
      <w:ind w:firstLine="420" w:firstLineChars="200"/>
    </w:pPr>
    <w:rPr>
      <w:rFonts w:cs="黑体"/>
      <w:szCs w:val="24"/>
    </w:rPr>
  </w:style>
  <w:style w:type="character" w:styleId="10">
    <w:name w:val="Hyperlink"/>
    <w:basedOn w:val="9"/>
    <w:qFormat/>
    <w:uiPriority w:val="0"/>
    <w:rPr>
      <w:color w:val="0563C1"/>
      <w:u w:val="single"/>
    </w:rPr>
  </w:style>
  <w:style w:type="paragraph" w:customStyle="1" w:styleId="11">
    <w:name w:val="BodyText"/>
    <w:basedOn w:val="1"/>
    <w:qFormat/>
    <w:uiPriority w:val="0"/>
    <w:pPr>
      <w:spacing w:line="360" w:lineRule="auto"/>
      <w:ind w:right="246"/>
      <w:textAlignment w:val="baseline"/>
    </w:pPr>
    <w:rPr>
      <w:kern w:val="0"/>
      <w:sz w:val="24"/>
      <w:szCs w:val="24"/>
    </w:rPr>
  </w:style>
  <w:style w:type="character" w:customStyle="1" w:styleId="12">
    <w:name w:val="页眉 Char"/>
    <w:basedOn w:val="9"/>
    <w:link w:val="6"/>
    <w:qFormat/>
    <w:uiPriority w:val="0"/>
    <w:rPr>
      <w:rFonts w:ascii="Calibri" w:hAnsi="Calibri" w:eastAsia="宋体" w:cs="Times New Roman"/>
      <w:kern w:val="2"/>
      <w:sz w:val="18"/>
      <w:szCs w:val="18"/>
    </w:rPr>
  </w:style>
  <w:style w:type="character" w:customStyle="1" w:styleId="13">
    <w:name w:val="页脚 Char"/>
    <w:basedOn w:val="9"/>
    <w:link w:val="5"/>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1084</Words>
  <Characters>1174</Characters>
  <Paragraphs>47</Paragraphs>
  <TotalTime>18</TotalTime>
  <ScaleCrop>false</ScaleCrop>
  <LinksUpToDate>false</LinksUpToDate>
  <CharactersWithSpaces>1212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2024-12-04T01:36:00Z</dcterms:created>
  <dc:creator>adminIst</dc:creator>
  <cp:lastModifiedBy>王思琦</cp:lastModifiedBy>
  <dcterms:modified xsi:type="dcterms:W3CDTF">2024-12-05T02:53:33Z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67415FCC4679463B935E61996F393D8A_13</vt:lpwstr>
  </property>
</Properties>
</file>